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FB" w:rsidRDefault="00E326FB" w:rsidP="006C1119">
      <w:pPr>
        <w:autoSpaceDE w:val="0"/>
        <w:autoSpaceDN w:val="0"/>
        <w:adjustRightInd w:val="0"/>
        <w:jc w:val="center"/>
        <w:rPr>
          <w:b/>
          <w:bCs/>
        </w:rPr>
      </w:pPr>
      <w:r>
        <w:rPr>
          <w:b/>
          <w:bCs/>
        </w:rPr>
        <w:t>SỞ T</w:t>
      </w:r>
      <w:r>
        <w:rPr>
          <w:b/>
          <w:bCs/>
          <w:lang w:val="vi-VN"/>
        </w:rPr>
        <w:t>Ư PHÁP HÀ NỘI</w:t>
      </w:r>
    </w:p>
    <w:p w:rsidR="00E326FB" w:rsidRPr="00E326FB" w:rsidRDefault="00E326FB" w:rsidP="00E326FB">
      <w:pPr>
        <w:autoSpaceDE w:val="0"/>
        <w:autoSpaceDN w:val="0"/>
        <w:adjustRightInd w:val="0"/>
        <w:jc w:val="center"/>
        <w:rPr>
          <w:b/>
          <w:bCs/>
          <w:lang w:val="vi-VN"/>
        </w:rPr>
      </w:pPr>
      <w:r>
        <w:rPr>
          <w:b/>
          <w:bCs/>
        </w:rPr>
        <w:t>NỘI DUNG TUYÊN TRUYỀN MỘT SỐ HÀNH VI VI PHẠM PHÁP LUẬT LIÊN QUAN ĐẾN PHÒNG, CHỐNG DỊ</w:t>
      </w:r>
      <w:r w:rsidR="006C1119">
        <w:rPr>
          <w:b/>
          <w:bCs/>
        </w:rPr>
        <w:t>CH COVID-19 VÀ CĂN CỨ</w:t>
      </w:r>
      <w:bookmarkStart w:id="0" w:name="_GoBack"/>
      <w:bookmarkEnd w:id="0"/>
      <w:r>
        <w:rPr>
          <w:b/>
          <w:bCs/>
        </w:rPr>
        <w:t xml:space="preserve"> PHÁP LÝ</w:t>
      </w:r>
    </w:p>
    <w:p w:rsidR="00E326FB" w:rsidRDefault="00E326FB" w:rsidP="00E326FB">
      <w:pPr>
        <w:autoSpaceDE w:val="0"/>
        <w:autoSpaceDN w:val="0"/>
        <w:adjustRightInd w:val="0"/>
        <w:jc w:val="both"/>
        <w:rPr>
          <w:b/>
          <w:bCs/>
          <w:i/>
          <w:iCs/>
          <w:highlight w:val="white"/>
        </w:rPr>
      </w:pPr>
      <w:r>
        <w:rPr>
          <w:b/>
          <w:bCs/>
          <w:i/>
          <w:iCs/>
          <w:highlight w:val="white"/>
          <w:u w:val="single"/>
        </w:rPr>
        <w:t>L</w:t>
      </w:r>
      <w:r>
        <w:rPr>
          <w:b/>
          <w:bCs/>
          <w:i/>
          <w:iCs/>
          <w:highlight w:val="white"/>
          <w:u w:val="single"/>
          <w:lang w:val="vi-VN"/>
        </w:rPr>
        <w:t xml:space="preserve">ưu </w:t>
      </w:r>
      <w:r>
        <w:rPr>
          <w:b/>
          <w:bCs/>
          <w:i/>
          <w:iCs/>
          <w:highlight w:val="white"/>
          <w:u w:val="single"/>
        </w:rPr>
        <w:t>ý</w:t>
      </w:r>
      <w:r>
        <w:rPr>
          <w:b/>
          <w:bCs/>
          <w:i/>
          <w:iCs/>
          <w:highlight w:val="white"/>
        </w:rPr>
        <w:t>: Nội dung này chỉ phù hợp với hình thức tuyên truyền trên loa (cần đưa thông điệp ngắn gọn, dễ hiểu). Những hình thức tuyên truyền khác khai thác nội dung này phải biên tập lại phù hợp theo quy định.</w:t>
      </w:r>
    </w:p>
    <w:p w:rsidR="00E326FB" w:rsidRDefault="00E326FB" w:rsidP="00E326FB">
      <w:pPr>
        <w:autoSpaceDE w:val="0"/>
        <w:autoSpaceDN w:val="0"/>
        <w:adjustRightInd w:val="0"/>
        <w:spacing w:after="0"/>
        <w:rPr>
          <w:rFonts w:ascii="Calibri" w:hAnsi="Calibri" w:cs="Calibri"/>
          <w:sz w:val="22"/>
          <w:szCs w:val="22"/>
        </w:rPr>
      </w:pPr>
    </w:p>
    <w:tbl>
      <w:tblPr>
        <w:tblW w:w="9639" w:type="dxa"/>
        <w:tblInd w:w="108" w:type="dxa"/>
        <w:tblLayout w:type="fixed"/>
        <w:tblLook w:val="0000" w:firstRow="0" w:lastRow="0" w:firstColumn="0" w:lastColumn="0" w:noHBand="0" w:noVBand="0"/>
      </w:tblPr>
      <w:tblGrid>
        <w:gridCol w:w="709"/>
        <w:gridCol w:w="4820"/>
        <w:gridCol w:w="4110"/>
      </w:tblGrid>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center"/>
              <w:rPr>
                <w:rFonts w:ascii="Calibri" w:hAnsi="Calibri" w:cs="Calibri"/>
                <w:sz w:val="22"/>
                <w:szCs w:val="22"/>
              </w:rPr>
            </w:pPr>
            <w:r>
              <w:rPr>
                <w:b/>
                <w:bCs/>
              </w:rPr>
              <w:t>Stt</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center"/>
              <w:rPr>
                <w:rFonts w:ascii="Calibri" w:hAnsi="Calibri" w:cs="Calibri"/>
                <w:sz w:val="22"/>
                <w:szCs w:val="22"/>
              </w:rPr>
            </w:pPr>
            <w:r>
              <w:rPr>
                <w:b/>
                <w:bCs/>
              </w:rPr>
              <w:t>Nội dung tuyên truyền</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center"/>
              <w:rPr>
                <w:rFonts w:ascii="Calibri" w:hAnsi="Calibri" w:cs="Calibri"/>
                <w:sz w:val="22"/>
                <w:szCs w:val="22"/>
              </w:rPr>
            </w:pPr>
            <w:r>
              <w:rPr>
                <w:b/>
                <w:bCs/>
              </w:rPr>
              <w:t>Căn cứ pháp lý</w:t>
            </w: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ind w:left="-108"/>
              <w:jc w:val="both"/>
              <w:rPr>
                <w:lang w:val="vi-VN"/>
              </w:rPr>
            </w:pPr>
            <w:r>
              <w:t xml:space="preserve"> Ng</w:t>
            </w:r>
            <w:r>
              <w:rPr>
                <w:lang w:val="vi-VN"/>
              </w:rPr>
              <w:t xml:space="preserve">ười </w:t>
            </w:r>
            <w:r>
              <w:rPr>
                <w:highlight w:val="white"/>
                <w:lang w:val="vi-VN"/>
              </w:rPr>
              <w:t>không đeo khẩu trang nơi công cộng bị phạt tiền tối đa đến 300.000đ.</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ind w:left="-11" w:firstLine="45"/>
              <w:jc w:val="both"/>
              <w:rPr>
                <w:sz w:val="24"/>
                <w:szCs w:val="24"/>
              </w:rPr>
            </w:pPr>
            <w:r>
              <w:rPr>
                <w:i/>
                <w:iCs/>
                <w:color w:val="000000"/>
                <w:highlight w:val="white"/>
              </w:rPr>
              <w:t>Áp dụng theo</w:t>
            </w:r>
            <w:r>
              <w:rPr>
                <w:color w:val="000000"/>
                <w:highlight w:val="white"/>
              </w:rPr>
              <w:t xml:space="preserve"> </w:t>
            </w:r>
            <w:r>
              <w:rPr>
                <w:i/>
                <w:iCs/>
                <w:color w:val="000000"/>
                <w:highlight w:val="white"/>
              </w:rPr>
              <w:t>điểm</w:t>
            </w:r>
            <w:r w:rsidR="006C1119">
              <w:rPr>
                <w:i/>
                <w:iCs/>
                <w:color w:val="000000"/>
                <w:highlight w:val="white"/>
              </w:rPr>
              <w:t xml:space="preserve"> a</w:t>
            </w:r>
            <w:r>
              <w:rPr>
                <w:color w:val="000000"/>
                <w:highlight w:val="white"/>
              </w:rPr>
              <w:t xml:space="preserve"> </w:t>
            </w:r>
            <w:r>
              <w:rPr>
                <w:i/>
                <w:iCs/>
                <w:color w:val="000000"/>
                <w:highlight w:val="white"/>
              </w:rPr>
              <w:t>khoản 1 Điều 11 Nghị định số 176/2013/NĐ-CP ngày 14/11/2013 của Chính phủ về xử phạt hành chính trong lĩnh vực y tế</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2</w:t>
            </w:r>
          </w:p>
          <w:p w:rsidR="00E326FB" w:rsidRDefault="00E326FB">
            <w:pPr>
              <w:autoSpaceDE w:val="0"/>
              <w:autoSpaceDN w:val="0"/>
              <w:adjustRightInd w:val="0"/>
              <w:spacing w:after="0" w:line="240" w:lineRule="auto"/>
              <w:rPr>
                <w:rFonts w:ascii="Calibri" w:hAnsi="Calibri" w:cs="Calibri"/>
                <w:sz w:val="22"/>
                <w:szCs w:val="22"/>
              </w:rPr>
            </w:pP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ind w:firstLine="33"/>
              <w:jc w:val="both"/>
              <w:rPr>
                <w:i/>
                <w:iCs/>
                <w:highlight w:val="white"/>
              </w:rPr>
            </w:pPr>
            <w:r>
              <w:rPr>
                <w:highlight w:val="white"/>
              </w:rPr>
              <w:t>Ng</w:t>
            </w:r>
            <w:r>
              <w:rPr>
                <w:highlight w:val="white"/>
                <w:lang w:val="vi-VN"/>
              </w:rPr>
              <w:t>ười vứt khẩu trang đ</w:t>
            </w:r>
            <w:r>
              <w:rPr>
                <w:highlight w:val="white"/>
              </w:rPr>
              <w:t>ã sử dụng không đúng nơi quy định tại nơi công cộng bị phạt tiền tối đa đến 5.000.000 đồng, nếu vứt ra vỉa hè, đường phố bị phạt tiền tối đa đến 7.000.000 đồng.</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before="240" w:after="0" w:line="240" w:lineRule="auto"/>
              <w:ind w:left="-11" w:firstLine="11"/>
              <w:jc w:val="both"/>
              <w:rPr>
                <w:sz w:val="24"/>
                <w:szCs w:val="24"/>
                <w:lang w:val="vi-VN"/>
              </w:rPr>
            </w:pPr>
            <w:r>
              <w:rPr>
                <w:i/>
                <w:iCs/>
                <w:highlight w:val="white"/>
              </w:rPr>
              <w:t>Áp dụng theo đ</w:t>
            </w:r>
            <w:r>
              <w:rPr>
                <w:i/>
                <w:iCs/>
                <w:color w:val="000000"/>
                <w:highlight w:val="white"/>
              </w:rPr>
              <w:t>iểm c, d khoản 1 Điều 20 Nghị định số 155/2016/NĐ-CP ngày 18/11/2016 của Chính phủ quy định về xử phạt vi phạm hành chính trong lĩnh vực môi tr</w:t>
            </w:r>
            <w:r>
              <w:rPr>
                <w:i/>
                <w:iCs/>
                <w:color w:val="000000"/>
                <w:highlight w:val="white"/>
                <w:lang w:val="vi-VN"/>
              </w:rPr>
              <w:t>ường</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 xml:space="preserve">3 </w:t>
            </w:r>
          </w:p>
          <w:p w:rsidR="00E326FB" w:rsidRDefault="00E326FB">
            <w:pPr>
              <w:autoSpaceDE w:val="0"/>
              <w:autoSpaceDN w:val="0"/>
              <w:adjustRightInd w:val="0"/>
              <w:spacing w:after="0" w:line="240" w:lineRule="auto"/>
              <w:rPr>
                <w:rFonts w:ascii="Calibri" w:hAnsi="Calibri" w:cs="Calibri"/>
                <w:sz w:val="22"/>
                <w:szCs w:val="22"/>
              </w:rPr>
            </w:pP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lang w:val="vi-VN"/>
              </w:rPr>
            </w:pPr>
            <w:r>
              <w:t>Ng</w:t>
            </w:r>
            <w:r>
              <w:rPr>
                <w:lang w:val="vi-VN"/>
              </w:rPr>
              <w:t>ười che  giấu t</w:t>
            </w:r>
            <w:r>
              <w:t>ình trạng bệnh của mình hoặc của ng</w:t>
            </w:r>
            <w:r>
              <w:rPr>
                <w:lang w:val="vi-VN"/>
              </w:rPr>
              <w:t>ười khác khi mắc bệnh Covid-19 bị p</w:t>
            </w:r>
            <w:r>
              <w:rPr>
                <w:highlight w:val="white"/>
                <w:lang w:val="vi-VN"/>
              </w:rPr>
              <w:t>hạt tiền</w:t>
            </w:r>
            <w:r>
              <w:rPr>
                <w:lang w:val="vi-VN"/>
              </w:rPr>
              <w:t xml:space="preserve"> tối đa đến 2.000.000 đồng.</w:t>
            </w:r>
          </w:p>
          <w:p w:rsidR="00E326FB" w:rsidRDefault="00E326FB">
            <w:pPr>
              <w:autoSpaceDE w:val="0"/>
              <w:autoSpaceDN w:val="0"/>
              <w:adjustRightInd w:val="0"/>
              <w:spacing w:after="0" w:line="240" w:lineRule="auto"/>
              <w:jc w:val="both"/>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color w:val="000000"/>
                <w:highlight w:val="white"/>
              </w:rPr>
            </w:pPr>
            <w:r>
              <w:rPr>
                <w:i/>
                <w:iCs/>
                <w:highlight w:val="white"/>
              </w:rPr>
              <w:t xml:space="preserve">Áp dụng theo </w:t>
            </w:r>
            <w:r>
              <w:rPr>
                <w:i/>
                <w:iCs/>
              </w:rPr>
              <w:t>đ</w:t>
            </w:r>
            <w:r>
              <w:rPr>
                <w:i/>
                <w:iCs/>
                <w:color w:val="000000"/>
                <w:highlight w:val="white"/>
              </w:rPr>
              <w:t xml:space="preserve">iểm a khoản 2 Điều 11 Nghị định số 176/2013/NĐ-CP ngày 14/11/2013 của Chính phủ về xử phạt hành chính trong lĩnh vực y tế </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4.</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ind w:hanging="108"/>
              <w:jc w:val="both"/>
            </w:pPr>
            <w:r>
              <w:t>Không thực hiện quyết định áp dụng biện pháp tạm đình chỉ hoạt động của cơ sở dịch vụ ăn uống công cộng có nguy cơ làm lây truyền bệnh dịch tại vùng có dịch thì bị phạt tiền tối đa đến 10.000.000 đồng đối với cá nhân, 20.000.000 đồng đối với tổ chức.</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ind w:firstLine="34"/>
              <w:jc w:val="both"/>
            </w:pPr>
            <w:r>
              <w:rPr>
                <w:i/>
                <w:iCs/>
                <w:highlight w:val="white"/>
              </w:rPr>
              <w:t xml:space="preserve">Áp dụng theo </w:t>
            </w:r>
            <w:r>
              <w:rPr>
                <w:i/>
                <w:iCs/>
                <w:color w:val="000000"/>
              </w:rPr>
              <w:t>điểm a, khoản 4 Điều 11 Nghị định 176/2013/NĐ-CP</w:t>
            </w:r>
            <w:r>
              <w:rPr>
                <w:i/>
                <w:iCs/>
                <w:color w:val="000000"/>
                <w:highlight w:val="white"/>
              </w:rPr>
              <w:t xml:space="preserve"> ngày 14/11/2013 của Chính phủ về xử phạt hành chính trong lĩnh vực y tế </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5</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pPr>
            <w:r>
              <w:t xml:space="preserve">Không thực hiện quyết định áp dụng biện pháp hạn chế tập trung đông người hoặc tạm đình chỉ hoạt động kinh doanh, dịch vụ tại nơi công cộng để phòng, chống dịch Covid-19 thì bị phạt tiền tối </w:t>
            </w:r>
            <w:r>
              <w:lastRenderedPageBreak/>
              <w:t>đa đến 10.000.000 đồng đối với cá nhân, 20.000.000 đồng đối với tổ chức.</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pPr>
            <w:r>
              <w:rPr>
                <w:i/>
                <w:iCs/>
                <w:highlight w:val="white"/>
              </w:rPr>
              <w:lastRenderedPageBreak/>
              <w:t xml:space="preserve">Áp dụng theo </w:t>
            </w:r>
            <w:r>
              <w:rPr>
                <w:i/>
                <w:iCs/>
                <w:color w:val="000000"/>
              </w:rPr>
              <w:t>điểm c, khoản 4 Điều 11 Nghị định 176/2013/NĐ-CP</w:t>
            </w:r>
            <w:r>
              <w:rPr>
                <w:i/>
                <w:iCs/>
                <w:color w:val="000000"/>
                <w:highlight w:val="white"/>
              </w:rPr>
              <w:t xml:space="preserve"> ngày 14/11/2013 của Chính phủ về xử phạt hành chính trong lĩnh vực y tế </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6</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lang w:val="vi-VN"/>
              </w:rPr>
            </w:pPr>
            <w:r>
              <w:t>Ng</w:t>
            </w:r>
            <w:r>
              <w:rPr>
                <w:lang w:val="vi-VN"/>
              </w:rPr>
              <w:t>ười không thực hiện quyết định kiểm tra, giám sát, xử l</w:t>
            </w:r>
            <w:r>
              <w:t>ý y tế tr</w:t>
            </w:r>
            <w:r>
              <w:rPr>
                <w:lang w:val="vi-VN"/>
              </w:rPr>
              <w:t>ước khi ra vào vùng có dịch bị phạt tiền tối đa đến 20.000.000 đồng.</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sz w:val="24"/>
                <w:szCs w:val="24"/>
              </w:rPr>
            </w:pPr>
            <w:r>
              <w:rPr>
                <w:i/>
                <w:iCs/>
                <w:color w:val="000000"/>
              </w:rPr>
              <w:t>Áp dụng theo điểm a khoản 5 Điều 11 Nghị định 176/2013/NĐ-CP</w:t>
            </w:r>
            <w:r>
              <w:rPr>
                <w:i/>
                <w:iCs/>
                <w:color w:val="000000"/>
                <w:highlight w:val="white"/>
              </w:rPr>
              <w:t xml:space="preserve"> ngày 14/11/2013 của Chính phủ về xử phạt hành chính trong lĩnh vực y tế</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7</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lang w:val="vi-VN"/>
              </w:rPr>
            </w:pPr>
            <w:r>
              <w:t>Ng</w:t>
            </w:r>
            <w:r>
              <w:rPr>
                <w:lang w:val="vi-VN"/>
              </w:rPr>
              <w:t>ười nào trốn khỏi nơi cách ly; không tuân thủ quy định về cách ly; từ chối, trốn tránh việc áp dụng biện pháp cách ly, cưỡng chế cách ly để ph</w:t>
            </w:r>
            <w:r>
              <w:t>òng, chống dịch Covid-19 có thể bị xử phạt hành chính tối đa đến 10.000.000 đồng hoặc bị xử lý theo Điều 240 Bộ luật Hình sự trong tr</w:t>
            </w:r>
            <w:r>
              <w:rPr>
                <w:lang w:val="vi-VN"/>
              </w:rPr>
              <w:t>ường hợp gây truyền dịch bệnh cho người khác</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color w:val="000000"/>
              </w:rPr>
            </w:pPr>
            <w:r>
              <w:t xml:space="preserve"> </w:t>
            </w:r>
            <w:r>
              <w:rPr>
                <w:i/>
                <w:iCs/>
              </w:rPr>
              <w:t>Áp dụng theo</w:t>
            </w:r>
            <w:r>
              <w:t xml:space="preserve">  đi</w:t>
            </w:r>
            <w:r>
              <w:rPr>
                <w:i/>
                <w:iCs/>
                <w:color w:val="000000"/>
              </w:rPr>
              <w:t>ểm b khoản 2 Điều 10 Nghị định 176/2013/NĐ-CP</w:t>
            </w:r>
            <w:r>
              <w:rPr>
                <w:i/>
                <w:iCs/>
                <w:color w:val="000000"/>
                <w:highlight w:val="white"/>
              </w:rPr>
              <w:t xml:space="preserve"> ngày 14/11/2013 của Chính phủ về xử phạt hành chính trong lĩnh vực y tế</w:t>
            </w:r>
            <w:r>
              <w:rPr>
                <w:i/>
                <w:iCs/>
                <w:color w:val="000000"/>
              </w:rPr>
              <w:t xml:space="preserve">  và điểm 1.1 mục 1 </w:t>
            </w:r>
            <w:r>
              <w:rPr>
                <w:i/>
                <w:iCs/>
                <w:color w:val="000000"/>
                <w:highlight w:val="white"/>
              </w:rPr>
              <w:t xml:space="preserve">Công văn 45/TANDTC-PC ngày 30/3/2020 của Hội đồng thẩm phán Tòa án nhân dân tối cao </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8</w:t>
            </w:r>
          </w:p>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p>
          <w:p w:rsidR="00E326FB" w:rsidRDefault="00E326FB">
            <w:pPr>
              <w:autoSpaceDE w:val="0"/>
              <w:autoSpaceDN w:val="0"/>
              <w:adjustRightInd w:val="0"/>
              <w:spacing w:after="0" w:line="240" w:lineRule="auto"/>
              <w:rPr>
                <w:rFonts w:ascii="Calibri" w:hAnsi="Calibri" w:cs="Calibri"/>
                <w:sz w:val="22"/>
                <w:szCs w:val="22"/>
              </w:rPr>
            </w:pP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rPr>
            </w:pPr>
            <w:r>
              <w:t>Ng</w:t>
            </w:r>
            <w:r>
              <w:rPr>
                <w:lang w:val="vi-VN"/>
              </w:rPr>
              <w:t>ười nào trốn khỏi nơi cách ly; không tuân thủ quy định về cách ly; từ chối, trốn tránh việc áp dụng biện pháp cách ly, cưỡng chế cách ly mà làm gây thiệt hại từ 100.000.000 đồng trở lên do phát sinh chi phí ph</w:t>
            </w:r>
            <w:r>
              <w:t>òng, chống dịch bệnh Covid-19 thì bị xử lý theo Điều 295 Bộ luật Hình sự</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color w:val="000000"/>
              </w:rPr>
            </w:pPr>
            <w:r>
              <w:rPr>
                <w:i/>
                <w:iCs/>
              </w:rPr>
              <w:t>Áp dụng</w:t>
            </w:r>
            <w:r>
              <w:t xml:space="preserve"> </w:t>
            </w:r>
            <w:r>
              <w:rPr>
                <w:i/>
                <w:iCs/>
                <w:color w:val="000000"/>
              </w:rPr>
              <w:t xml:space="preserve"> điểm 1.2 mục 1 mục </w:t>
            </w:r>
            <w:r>
              <w:rPr>
                <w:i/>
                <w:iCs/>
                <w:color w:val="000000"/>
                <w:highlight w:val="white"/>
              </w:rPr>
              <w:t xml:space="preserve">Công văn 45/TANDTC-PC ngày 30/3/2020 của Hội đồng thẩm phán Tòa án nhân dân tối cao) </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9</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pPr>
            <w:r>
              <w:t>Ng</w:t>
            </w:r>
            <w:r>
              <w:rPr>
                <w:lang w:val="vi-VN"/>
              </w:rPr>
              <w:t>ười nào</w:t>
            </w:r>
            <w:r>
              <w:rPr>
                <w:i/>
                <w:iCs/>
                <w:lang w:val="vi-VN"/>
              </w:rPr>
              <w:t xml:space="preserve"> </w:t>
            </w:r>
            <w:r>
              <w:rPr>
                <w:lang w:val="vi-VN"/>
              </w:rPr>
              <w:t xml:space="preserve"> khai báo y tế, khai báo không đầy đủ hoặc khai báo gian dối gây lây truyền dịch bệnh Covid-19 cho người khác bị xử l</w:t>
            </w:r>
            <w:r>
              <w:t xml:space="preserve">ý theo Điều 240 Bộ luật Hình sự </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ind w:hanging="108"/>
              <w:jc w:val="both"/>
            </w:pPr>
            <w:r>
              <w:rPr>
                <w:i/>
                <w:iCs/>
              </w:rPr>
              <w:t>Áp dụng</w:t>
            </w:r>
            <w:r>
              <w:t xml:space="preserve"> </w:t>
            </w:r>
            <w:r>
              <w:rPr>
                <w:i/>
                <w:iCs/>
                <w:color w:val="000000"/>
              </w:rPr>
              <w:t xml:space="preserve"> điểm 1.1 mục 1 </w:t>
            </w:r>
            <w:r>
              <w:rPr>
                <w:i/>
                <w:iCs/>
                <w:color w:val="000000"/>
                <w:highlight w:val="white"/>
              </w:rPr>
              <w:t>Công văn 45/TANDTC-PC ngày 30/3/2020 của Hội đồng thẩm phán Tòa án nhân dân tối cao</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10</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pPr>
            <w:r>
              <w:t>Ng</w:t>
            </w:r>
            <w:r>
              <w:rPr>
                <w:lang w:val="vi-VN"/>
              </w:rPr>
              <w:t>ười nào đưa lên mạng máy tính, mạng viễn thông thông tin giả mạo, thông tin sai sự thật, thông tin xuyên tạc về t</w:t>
            </w:r>
            <w:r>
              <w:t>ình hình dịch bệnh Covid-19 có thể bị tiền tối đa đến 15.000.000 đồng hoặc bị xử lý theo Điều 288 Bộ luật Hình sự.</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color w:val="000000"/>
              </w:rPr>
            </w:pPr>
            <w:r>
              <w:rPr>
                <w:i/>
                <w:iCs/>
              </w:rPr>
              <w:t>Áp dụng đ</w:t>
            </w:r>
            <w:r>
              <w:rPr>
                <w:i/>
                <w:iCs/>
                <w:color w:val="000000"/>
                <w:highlight w:val="white"/>
              </w:rPr>
              <w:t>iểm a khoản 3 Điều 64 Nghị định 174/2013/NĐ-CP quy định xử phạt vi phạm hành chính trong lĩnh vực b</w:t>
            </w:r>
            <w:r>
              <w:rPr>
                <w:i/>
                <w:iCs/>
                <w:color w:val="000000"/>
                <w:highlight w:val="white"/>
                <w:lang w:val="vi-VN"/>
              </w:rPr>
              <w:t>ưu chính, viễn thông, công nghệ thông tin và tần số tuyến điện và  điểm 1.4 mục 1 Công văn 45/TANDTC-PC ngày 30/3/2020 của Hội đồng thẩm phán T</w:t>
            </w:r>
            <w:r>
              <w:rPr>
                <w:i/>
                <w:iCs/>
                <w:color w:val="000000"/>
                <w:highlight w:val="white"/>
              </w:rPr>
              <w:t xml:space="preserve">òa án nhân dân tối cao </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11</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pPr>
            <w:r>
              <w:rPr>
                <w:highlight w:val="white"/>
              </w:rPr>
              <w:t>Ng</w:t>
            </w:r>
            <w:r>
              <w:rPr>
                <w:highlight w:val="white"/>
                <w:lang w:val="vi-VN"/>
              </w:rPr>
              <w:t xml:space="preserve">ười có hành vi dùng vũ lực, đe dọa dùng vũ lực hoặc thủ đoạn khác cản trở </w:t>
            </w:r>
            <w:r>
              <w:rPr>
                <w:highlight w:val="white"/>
                <w:lang w:val="vi-VN"/>
              </w:rPr>
              <w:lastRenderedPageBreak/>
              <w:t>người thi hành công vụ trong ph</w:t>
            </w:r>
            <w:r>
              <w:rPr>
                <w:highlight w:val="white"/>
              </w:rPr>
              <w:t xml:space="preserve">òng, chống dịch bệnh Covid-19 thì bị xử lý theo Điều 330 </w:t>
            </w:r>
            <w:r>
              <w:t>Bộ luật Hình sự.</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color w:val="000000"/>
              </w:rPr>
            </w:pPr>
            <w:r>
              <w:rPr>
                <w:i/>
                <w:iCs/>
              </w:rPr>
              <w:lastRenderedPageBreak/>
              <w:t xml:space="preserve">Áp dụng </w:t>
            </w:r>
            <w:r>
              <w:rPr>
                <w:i/>
                <w:iCs/>
                <w:color w:val="000000"/>
              </w:rPr>
              <w:t>điểm 1.9</w:t>
            </w:r>
            <w:r>
              <w:rPr>
                <w:color w:val="000000"/>
              </w:rPr>
              <w:t xml:space="preserve"> </w:t>
            </w:r>
            <w:r>
              <w:rPr>
                <w:i/>
                <w:iCs/>
                <w:color w:val="000000"/>
                <w:highlight w:val="white"/>
              </w:rPr>
              <w:t xml:space="preserve">mục 1 Công văn 45/TANDTC-PC ngày 30/3/2020 </w:t>
            </w:r>
            <w:r>
              <w:rPr>
                <w:i/>
                <w:iCs/>
                <w:color w:val="000000"/>
                <w:highlight w:val="white"/>
              </w:rPr>
              <w:lastRenderedPageBreak/>
              <w:t xml:space="preserve">của Hội đồng thẩm phán Tòa án nhân dân tối cao </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lastRenderedPageBreak/>
              <w:t>12</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rsidP="00E326FB">
            <w:pPr>
              <w:autoSpaceDE w:val="0"/>
              <w:autoSpaceDN w:val="0"/>
              <w:adjustRightInd w:val="0"/>
              <w:spacing w:after="0" w:line="240" w:lineRule="auto"/>
              <w:jc w:val="both"/>
              <w:rPr>
                <w:rFonts w:ascii="Calibri" w:hAnsi="Calibri" w:cs="Calibri"/>
                <w:sz w:val="22"/>
                <w:szCs w:val="22"/>
              </w:rPr>
            </w:pPr>
            <w:r>
              <w:rPr>
                <w:highlight w:val="white"/>
              </w:rPr>
              <w:t>Chủ c</w:t>
            </w:r>
            <w:r>
              <w:rPr>
                <w:highlight w:val="white"/>
                <w:lang w:val="vi-VN"/>
              </w:rPr>
              <w:t>ơ sở kinh doanh, người quản l</w:t>
            </w:r>
            <w:r>
              <w:rPr>
                <w:highlight w:val="white"/>
              </w:rPr>
              <w:t>ý c</w:t>
            </w:r>
            <w:r>
              <w:rPr>
                <w:highlight w:val="white"/>
                <w:lang w:val="vi-VN"/>
              </w:rPr>
              <w:t>ơ sở kinh doanh dịch vụ (như quán bar, vũ trường, karaoke, dịch vụ mát-xa, cơ sở thẩm mỹ...) thực hiện hoạt động kinh doanh khi đ</w:t>
            </w:r>
            <w:r>
              <w:rPr>
                <w:highlight w:val="white"/>
              </w:rPr>
              <w:t>ã có quyết định tạm đình chỉ hoạt động kinh doanh để phòng chống dịch bệnh Covid-19, gây thiệt hại từ 100.000.000 đồng trở lên do phát sinh chi phí phòng, chống dịch bệnh thì bị xử lý theo Điều 295 Bộ luật Hình sự</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ind w:firstLine="34"/>
              <w:jc w:val="both"/>
              <w:rPr>
                <w:i/>
                <w:iCs/>
                <w:color w:val="000000"/>
              </w:rPr>
            </w:pPr>
            <w:r>
              <w:rPr>
                <w:i/>
                <w:iCs/>
              </w:rPr>
              <w:t xml:space="preserve">Áp dụng điểm 1.3 </w:t>
            </w:r>
            <w:r>
              <w:rPr>
                <w:i/>
                <w:iCs/>
                <w:color w:val="000000"/>
                <w:highlight w:val="white"/>
              </w:rPr>
              <w:t xml:space="preserve">mục 1 Công văn 45/TANDTC-PC ngày 30/3/2020 của Hội đồng thẩm phán Tòa án nhân dân tối cao </w:t>
            </w:r>
          </w:p>
          <w:p w:rsidR="00E326FB" w:rsidRDefault="00E326FB">
            <w:pPr>
              <w:autoSpaceDE w:val="0"/>
              <w:autoSpaceDN w:val="0"/>
              <w:adjustRightInd w:val="0"/>
              <w:spacing w:after="0" w:line="240" w:lineRule="auto"/>
              <w:rPr>
                <w:rFonts w:ascii="Calibri" w:hAnsi="Calibri" w:cs="Calibri"/>
                <w:sz w:val="22"/>
                <w:szCs w:val="22"/>
              </w:rPr>
            </w:pPr>
          </w:p>
        </w:tc>
      </w:tr>
      <w:tr w:rsidR="00E326FB" w:rsidTr="00E326F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rPr>
                <w:rFonts w:ascii="Calibri" w:hAnsi="Calibri" w:cs="Calibri"/>
                <w:sz w:val="22"/>
                <w:szCs w:val="22"/>
              </w:rPr>
            </w:pPr>
            <w:r>
              <w:rPr>
                <w:rFonts w:ascii="Calibri" w:hAnsi="Calibri" w:cs="Calibri"/>
                <w:sz w:val="22"/>
                <w:szCs w:val="22"/>
              </w:rPr>
              <w:t>13</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highlight w:val="white"/>
              </w:rPr>
            </w:pPr>
            <w:r>
              <w:rPr>
                <w:highlight w:val="white"/>
              </w:rPr>
              <w:t>Ng</w:t>
            </w:r>
            <w:r>
              <w:rPr>
                <w:highlight w:val="white"/>
                <w:lang w:val="vi-VN"/>
              </w:rPr>
              <w:t>ười có hành vi lợi dụng sự khan hiếm hoặc tạo sự khan hiếm giả tạo trong t</w:t>
            </w:r>
            <w:r>
              <w:rPr>
                <w:highlight w:val="white"/>
              </w:rPr>
              <w:t>ình hình dịch bệnh Covid-19 để mua vét hàng hóa đã được cơ quan nhà n</w:t>
            </w:r>
            <w:r>
              <w:rPr>
                <w:highlight w:val="white"/>
                <w:lang w:val="vi-VN"/>
              </w:rPr>
              <w:t>ước có thẩm quyền công bố là mặt hàng b</w:t>
            </w:r>
            <w:r>
              <w:rPr>
                <w:highlight w:val="white"/>
              </w:rPr>
              <w:t>ình ổn giá hoặc hàng hóa được Nhà n</w:t>
            </w:r>
            <w:r>
              <w:rPr>
                <w:highlight w:val="white"/>
                <w:lang w:val="vi-VN"/>
              </w:rPr>
              <w:t>ước định giá nhằm bán lại để thu lợi bất chính th</w:t>
            </w:r>
            <w:r>
              <w:rPr>
                <w:highlight w:val="white"/>
              </w:rPr>
              <w:t>ì bị xử lý về tội đầu cơ theo quy định tại Điều 196 Bộ luật Hình sự.</w:t>
            </w:r>
          </w:p>
          <w:p w:rsidR="00E326FB" w:rsidRDefault="00E326FB">
            <w:pPr>
              <w:autoSpaceDE w:val="0"/>
              <w:autoSpaceDN w:val="0"/>
              <w:adjustRightInd w:val="0"/>
              <w:spacing w:after="0" w:line="240" w:lineRule="auto"/>
              <w:rPr>
                <w:rFonts w:ascii="Calibri" w:hAnsi="Calibri" w:cs="Calibri"/>
                <w:sz w:val="22"/>
                <w:szCs w:val="22"/>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tcPr>
          <w:p w:rsidR="00E326FB" w:rsidRDefault="00E326FB">
            <w:pPr>
              <w:autoSpaceDE w:val="0"/>
              <w:autoSpaceDN w:val="0"/>
              <w:adjustRightInd w:val="0"/>
              <w:spacing w:after="0" w:line="240" w:lineRule="auto"/>
              <w:jc w:val="both"/>
              <w:rPr>
                <w:i/>
                <w:iCs/>
                <w:color w:val="000000"/>
              </w:rPr>
            </w:pPr>
            <w:r>
              <w:rPr>
                <w:i/>
                <w:iCs/>
              </w:rPr>
              <w:t xml:space="preserve">Áp dụng điểm 1.8 </w:t>
            </w:r>
            <w:r>
              <w:rPr>
                <w:i/>
                <w:iCs/>
                <w:color w:val="000000"/>
                <w:highlight w:val="white"/>
              </w:rPr>
              <w:t xml:space="preserve">mục 1 Công văn 45/TANDTC-PC ngày 30/3/2020 của Hội đồng thẩm phán Tòa án nhân dân tối cao </w:t>
            </w:r>
          </w:p>
          <w:p w:rsidR="00E326FB" w:rsidRDefault="00E326FB">
            <w:pPr>
              <w:autoSpaceDE w:val="0"/>
              <w:autoSpaceDN w:val="0"/>
              <w:adjustRightInd w:val="0"/>
              <w:spacing w:after="0" w:line="240" w:lineRule="auto"/>
              <w:rPr>
                <w:rFonts w:ascii="Calibri" w:hAnsi="Calibri" w:cs="Calibri"/>
                <w:sz w:val="22"/>
                <w:szCs w:val="22"/>
              </w:rPr>
            </w:pPr>
          </w:p>
        </w:tc>
      </w:tr>
    </w:tbl>
    <w:p w:rsidR="00E326FB" w:rsidRDefault="00E326FB" w:rsidP="00E326FB">
      <w:pPr>
        <w:autoSpaceDE w:val="0"/>
        <w:autoSpaceDN w:val="0"/>
        <w:adjustRightInd w:val="0"/>
        <w:rPr>
          <w:rFonts w:ascii="Calibri" w:hAnsi="Calibri" w:cs="Calibri"/>
          <w:sz w:val="22"/>
          <w:szCs w:val="22"/>
        </w:rPr>
      </w:pPr>
    </w:p>
    <w:p w:rsidR="00E326FB" w:rsidRDefault="00E326FB" w:rsidP="00E326FB">
      <w:pPr>
        <w:autoSpaceDE w:val="0"/>
        <w:autoSpaceDN w:val="0"/>
        <w:adjustRightInd w:val="0"/>
        <w:rPr>
          <w:rFonts w:ascii="Calibri" w:hAnsi="Calibri" w:cs="Calibri"/>
          <w:sz w:val="22"/>
          <w:szCs w:val="22"/>
        </w:rPr>
      </w:pPr>
    </w:p>
    <w:p w:rsidR="00E326FB" w:rsidRDefault="00E326FB" w:rsidP="00E326FB">
      <w:pPr>
        <w:autoSpaceDE w:val="0"/>
        <w:autoSpaceDN w:val="0"/>
        <w:adjustRightInd w:val="0"/>
        <w:rPr>
          <w:rFonts w:ascii="Calibri" w:hAnsi="Calibri" w:cs="Calibri"/>
          <w:sz w:val="22"/>
          <w:szCs w:val="22"/>
        </w:rPr>
      </w:pPr>
    </w:p>
    <w:p w:rsidR="00E326FB" w:rsidRDefault="00E326FB" w:rsidP="00E326FB">
      <w:pPr>
        <w:autoSpaceDE w:val="0"/>
        <w:autoSpaceDN w:val="0"/>
        <w:adjustRightInd w:val="0"/>
      </w:pPr>
    </w:p>
    <w:p w:rsidR="00E326FB" w:rsidRDefault="00E326FB" w:rsidP="00E326FB">
      <w:pPr>
        <w:autoSpaceDE w:val="0"/>
        <w:autoSpaceDN w:val="0"/>
        <w:adjustRightInd w:val="0"/>
      </w:pPr>
    </w:p>
    <w:p w:rsidR="00C81380" w:rsidRDefault="00C81380"/>
    <w:sectPr w:rsidR="00C81380" w:rsidSect="00E326FB">
      <w:pgSz w:w="11907" w:h="16840" w:code="9"/>
      <w:pgMar w:top="1134" w:right="70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FB"/>
    <w:rsid w:val="0009112A"/>
    <w:rsid w:val="000A2E4B"/>
    <w:rsid w:val="0013469B"/>
    <w:rsid w:val="001509BD"/>
    <w:rsid w:val="00297910"/>
    <w:rsid w:val="002D4F1B"/>
    <w:rsid w:val="003D19E7"/>
    <w:rsid w:val="003F4084"/>
    <w:rsid w:val="0044026D"/>
    <w:rsid w:val="006C1119"/>
    <w:rsid w:val="006E30B6"/>
    <w:rsid w:val="0072542D"/>
    <w:rsid w:val="00861534"/>
    <w:rsid w:val="00882984"/>
    <w:rsid w:val="0089581B"/>
    <w:rsid w:val="00916F99"/>
    <w:rsid w:val="00A049FF"/>
    <w:rsid w:val="00A77F4A"/>
    <w:rsid w:val="00AB6CCB"/>
    <w:rsid w:val="00B07A95"/>
    <w:rsid w:val="00BB51AF"/>
    <w:rsid w:val="00C81380"/>
    <w:rsid w:val="00CA78E2"/>
    <w:rsid w:val="00CB281E"/>
    <w:rsid w:val="00CE53EF"/>
    <w:rsid w:val="00D1017E"/>
    <w:rsid w:val="00D73045"/>
    <w:rsid w:val="00D92D6F"/>
    <w:rsid w:val="00E326FB"/>
    <w:rsid w:val="00E91A41"/>
    <w:rsid w:val="00EC02E7"/>
    <w:rsid w:val="00FB34C4"/>
    <w:rsid w:val="00FF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F44A2-C9CC-4ED6-921F-048A2064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Nanocp</dc:creator>
  <cp:lastModifiedBy>Administrator</cp:lastModifiedBy>
  <cp:revision>2</cp:revision>
  <dcterms:created xsi:type="dcterms:W3CDTF">2020-04-06T01:59:00Z</dcterms:created>
  <dcterms:modified xsi:type="dcterms:W3CDTF">2020-04-06T01:59:00Z</dcterms:modified>
</cp:coreProperties>
</file>